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60"/>
      </w:pPr>
      <w:r>
        <w:rPr>
          <w:rFonts w:ascii="Consolas" w:cs="Consolas" w:eastAsia="Consolas" w:hAnsi="Consolas"/>
          <w:color w:val="C4A052"/>
          <w:spacing w:val="40"/>
          <w:sz w:val="17"/>
          <w:szCs w:val="17"/>
        </w:rPr>
        <w:t xml:space="preserve">ACADEWIE · PLAYBOOK AGENT IA EN BANQUE · MODÈLE À REMPLIR</w:t>
      </w:r>
    </w:p>
    <w:p>
      <w:pPr>
        <w:pStyle w:val="Heading1"/>
        <w:spacing w:after="120" w:before="120"/>
      </w:pPr>
      <w:r>
        <w:rPr>
          <w:rFonts w:ascii="Georgia" w:cs="Georgia" w:eastAsia="Georgia" w:hAnsi="Georgia"/>
          <w:b/>
          <w:bCs/>
          <w:color w:val="00205B"/>
          <w:sz w:val="52"/>
          <w:szCs w:val="52"/>
        </w:rPr>
        <w:t xml:space="preserve">Journal du mode à blanc</w:t>
      </w:r>
    </w:p>
    <w:p>
      <w:pPr>
        <w:spacing w:after="60"/>
      </w:pPr>
      <w:r>
        <w:rPr>
          <w:color w:val="6C757D"/>
          <w:sz w:val="19"/>
          <w:szCs w:val="19"/>
        </w:rPr>
        <w:t xml:space="preserve">Point de passage : G4 · Responsable : responsable d’agent, avec les opérations et le métier · Semaines 9 à 11</w:t>
      </w:r>
    </w:p>
    <w:p>
      <w:pPr>
        <w:pBdr>
          <w:bottom w:val="single" w:color="C4A052" w:sz="24"/>
        </w:pBdr>
        <w:spacing w:after="260"/>
      </w:pPr>
    </w:p>
    <w:p>
      <w:pPr>
        <w:spacing w:after="200"/>
      </w:pPr>
      <w:r>
        <w:rPr>
          <w:sz w:val="21"/>
          <w:szCs w:val="21"/>
        </w:rPr>
        <w:t xml:space="preserve">Le mode à blanc observe l’agent sur des dossiers réels sans lui laisser produire d’effet. Il dure jusqu’à couverture suffisante des segments et stabilité des résultats — pas jusqu’à une date.</w:t>
      </w:r>
    </w:p>
    <w:tbl>
      <w:tblPr>
        <w:tblW w:type="dxa" w:w="9360"/>
        <w:tblBorders>
          <w:top w:val="single" w:color="DEE2E6" w:sz="4"/>
          <w:left w:val="single" w:color="DEE2E6" w:sz="4"/>
          <w:bottom w:val="single" w:color="DEE2E6" w:sz="4"/>
          <w:right w:val="single" w:color="DEE2E6" w:sz="4"/>
          <w:insideH w:val="single" w:color="DEE2E6" w:sz="4"/>
          <w:insideV w:val="single" w:color="DEE2E6" w:sz="4"/>
        </w:tblBorders>
      </w:tblPr>
      <w:tblGrid>
        <w:gridCol w:w="2600"/>
        <w:gridCol w:w="6760"/>
      </w:tblGrid>
      <w:tr>
        <w:trPr>
          <w:tblHeader/>
        </w:trPr>
        <w:tc>
          <w:tcPr>
            <w:tcW w:type="dxa" w:w="2600"/>
            <w:shd w:fill="00205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onsolas" w:cs="Consolas" w:eastAsia="Consolas" w:hAnsi="Consolas"/>
                <w:color w:val="FFFFFF"/>
                <w:spacing w:val="24"/>
                <w:sz w:val="17"/>
                <w:szCs w:val="17"/>
              </w:rPr>
              <w:t xml:space="preserve">CHAMP</w:t>
            </w:r>
          </w:p>
        </w:tc>
        <w:tc>
          <w:tcPr>
            <w:tcW w:type="dxa" w:w="6760"/>
            <w:shd w:fill="00205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onsolas" w:cs="Consolas" w:eastAsia="Consolas" w:hAnsi="Consolas"/>
                <w:color w:val="FFFFFF"/>
                <w:spacing w:val="24"/>
                <w:sz w:val="17"/>
                <w:szCs w:val="17"/>
              </w:rPr>
              <w:t xml:space="preserve">À RENSEIGNER</w:t>
            </w:r>
          </w:p>
        </w:tc>
      </w:tr>
      <w:tr>
        <w:trPr>
          <w:cantSplit/>
        </w:trPr>
        <w:tc>
          <w:tcPr>
            <w:tcW w:type="dxa" w:w="260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00205B"/>
                <w:sz w:val="20"/>
                <w:szCs w:val="20"/>
              </w:rPr>
              <w:t xml:space="preserve">Rempli par / le / version</w:t>
            </w:r>
          </w:p>
        </w:tc>
        <w:tc>
          <w:tcPr>
            <w:tcW w:type="dxa" w:w="676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i/>
                <w:iCs/>
                <w:color w:val="6C757D"/>
                <w:sz w:val="19"/>
                <w:szCs w:val="19"/>
              </w:rPr>
              <w:t xml:space="preserve"> </w:t>
            </w:r>
          </w:p>
          <w:p/>
          <w:p/>
        </w:tc>
      </w:tr>
      <w:tr>
        <w:trPr>
          <w:cantSplit/>
        </w:trPr>
        <w:tc>
          <w:tcPr>
            <w:tcW w:type="dxa" w:w="2600"/>
            <w:shd w:fill="F8F9F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00205B"/>
                <w:sz w:val="20"/>
                <w:szCs w:val="20"/>
              </w:rPr>
              <w:t xml:space="preserve">Population observée</w:t>
            </w:r>
          </w:p>
        </w:tc>
        <w:tc>
          <w:tcPr>
            <w:tcW w:type="dxa" w:w="6760"/>
            <w:shd w:fill="F8F9F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i/>
                <w:iCs/>
                <w:color w:val="6C757D"/>
                <w:sz w:val="19"/>
                <w:szCs w:val="19"/>
              </w:rPr>
              <w:t xml:space="preserve">Cohorte, entité, canal, règles d’exclusion, volume</w:t>
            </w:r>
          </w:p>
          <w:p/>
          <w:p/>
        </w:tc>
      </w:tr>
      <w:tr>
        <w:trPr>
          <w:cantSplit/>
        </w:trPr>
        <w:tc>
          <w:tcPr>
            <w:tcW w:type="dxa" w:w="260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00205B"/>
                <w:sz w:val="20"/>
                <w:szCs w:val="20"/>
              </w:rPr>
              <w:t xml:space="preserve">Période et couverture</w:t>
            </w:r>
          </w:p>
        </w:tc>
        <w:tc>
          <w:tcPr>
            <w:tcW w:type="dxa" w:w="676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i/>
                <w:iCs/>
                <w:color w:val="6C757D"/>
                <w:sz w:val="19"/>
                <w:szCs w:val="19"/>
              </w:rPr>
              <w:t xml:space="preserve">Dates, segments couverts, stabilité des résultats</w:t>
            </w:r>
          </w:p>
          <w:p/>
          <w:p/>
        </w:tc>
      </w:tr>
      <w:tr>
        <w:trPr>
          <w:cantSplit/>
        </w:trPr>
        <w:tc>
          <w:tcPr>
            <w:tcW w:type="dxa" w:w="2600"/>
            <w:shd w:fill="F8F9F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00205B"/>
                <w:sz w:val="20"/>
                <w:szCs w:val="20"/>
              </w:rPr>
              <w:t xml:space="preserve">Agent contre décision humaine</w:t>
            </w:r>
          </w:p>
        </w:tc>
        <w:tc>
          <w:tcPr>
            <w:tcW w:type="dxa" w:w="6760"/>
            <w:shd w:fill="F8F9F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i/>
                <w:iCs/>
                <w:color w:val="6C757D"/>
                <w:sz w:val="19"/>
                <w:szCs w:val="19"/>
              </w:rPr>
              <w:t xml:space="preserve">Écarts entre la proposition et la décision de référence, avec motifs</w:t>
            </w:r>
          </w:p>
          <w:p/>
          <w:p/>
        </w:tc>
      </w:tr>
      <w:tr>
        <w:trPr>
          <w:cantSplit/>
        </w:trPr>
        <w:tc>
          <w:tcPr>
            <w:tcW w:type="dxa" w:w="260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00205B"/>
                <w:sz w:val="20"/>
                <w:szCs w:val="20"/>
              </w:rPr>
              <w:t xml:space="preserve">Motifs de correction</w:t>
            </w:r>
          </w:p>
        </w:tc>
        <w:tc>
          <w:tcPr>
            <w:tcW w:type="dxa" w:w="676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i/>
                <w:iCs/>
                <w:color w:val="6C757D"/>
                <w:sz w:val="19"/>
                <w:szCs w:val="19"/>
              </w:rPr>
              <w:t xml:space="preserve">Consignés en champ structuré, exploitables par l’évaluation</w:t>
            </w:r>
          </w:p>
          <w:p/>
          <w:p/>
        </w:tc>
      </w:tr>
      <w:tr>
        <w:trPr>
          <w:cantSplit/>
        </w:trPr>
        <w:tc>
          <w:tcPr>
            <w:tcW w:type="dxa" w:w="2600"/>
            <w:shd w:fill="F8F9F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00205B"/>
                <w:sz w:val="20"/>
                <w:szCs w:val="20"/>
              </w:rPr>
              <w:t xml:space="preserve">Décisions de passer outre</w:t>
            </w:r>
          </w:p>
        </w:tc>
        <w:tc>
          <w:tcPr>
            <w:tcW w:type="dxa" w:w="6760"/>
            <w:shd w:fill="F8F9F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i/>
                <w:iCs/>
                <w:color w:val="6C757D"/>
                <w:sz w:val="19"/>
                <w:szCs w:val="19"/>
              </w:rPr>
              <w:t xml:space="preserve">Comptées ET analysées, jamais seulement comptées</w:t>
            </w:r>
          </w:p>
          <w:p/>
          <w:p/>
        </w:tc>
      </w:tr>
      <w:tr>
        <w:trPr>
          <w:cantSplit/>
        </w:trPr>
        <w:tc>
          <w:tcPr>
            <w:tcW w:type="dxa" w:w="260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00205B"/>
                <w:sz w:val="20"/>
                <w:szCs w:val="20"/>
              </w:rPr>
              <w:t xml:space="preserve">Incidents et signaux d’arrêt</w:t>
            </w:r>
          </w:p>
        </w:tc>
        <w:tc>
          <w:tcPr>
            <w:tcW w:type="dxa" w:w="676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i/>
                <w:iCs/>
                <w:color w:val="6C757D"/>
                <w:sz w:val="19"/>
                <w:szCs w:val="19"/>
              </w:rPr>
              <w:t xml:space="preserve">Seuil dur franchi, dérive, surcharge de revue — et la suite donnée</w:t>
            </w:r>
          </w:p>
          <w:p/>
          <w:p/>
        </w:tc>
      </w:tr>
      <w:tr>
        <w:trPr>
          <w:cantSplit/>
        </w:trPr>
        <w:tc>
          <w:tcPr>
            <w:tcW w:type="dxa" w:w="2600"/>
            <w:shd w:fill="F8F9F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00205B"/>
                <w:sz w:val="20"/>
                <w:szCs w:val="20"/>
              </w:rPr>
              <w:t xml:space="preserve">Exercice d’arrêt et de retour arrière</w:t>
            </w:r>
          </w:p>
        </w:tc>
        <w:tc>
          <w:tcPr>
            <w:tcW w:type="dxa" w:w="6760"/>
            <w:shd w:fill="F8F9F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i/>
                <w:iCs/>
                <w:color w:val="6C757D"/>
                <w:sz w:val="19"/>
                <w:szCs w:val="19"/>
              </w:rPr>
              <w:t xml:space="preserve">Date, participants, constats — exécuté, pas seulement écrit</w:t>
            </w:r>
          </w:p>
          <w:p/>
          <w:p/>
        </w:tc>
      </w:tr>
      <w:tr>
        <w:trPr>
          <w:cantSplit/>
        </w:trPr>
        <w:tc>
          <w:tcPr>
            <w:tcW w:type="dxa" w:w="260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00205B"/>
                <w:sz w:val="20"/>
                <w:szCs w:val="20"/>
              </w:rPr>
              <w:t xml:space="preserve">Exercice de reprise</w:t>
            </w:r>
          </w:p>
        </w:tc>
        <w:tc>
          <w:tcPr>
            <w:tcW w:type="dxa" w:w="676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i/>
                <w:iCs/>
                <w:color w:val="6C757D"/>
                <w:sz w:val="19"/>
                <w:szCs w:val="19"/>
              </w:rPr>
              <w:t xml:space="preserve">Les sept étapes (détecter → reprendre), avec la preuve de chacune</w:t>
            </w:r>
          </w:p>
          <w:p/>
          <w:p/>
        </w:tc>
      </w:tr>
      <w:tr>
        <w:trPr>
          <w:cantSplit/>
        </w:trPr>
        <w:tc>
          <w:tcPr>
            <w:tcW w:type="dxa" w:w="2600"/>
            <w:shd w:fill="F8F9F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00205B"/>
                <w:sz w:val="20"/>
                <w:szCs w:val="20"/>
              </w:rPr>
              <w:t xml:space="preserve">Temps de revue</w:t>
            </w:r>
          </w:p>
        </w:tc>
        <w:tc>
          <w:tcPr>
            <w:tcW w:type="dxa" w:w="6760"/>
            <w:shd w:fill="F8F9F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i/>
                <w:iCs/>
                <w:color w:val="6C757D"/>
                <w:sz w:val="19"/>
                <w:szCs w:val="19"/>
              </w:rPr>
              <w:t xml:space="preserve">Temps par dossier et tendance à approuver sans lecture</w:t>
            </w:r>
          </w:p>
          <w:p/>
          <w:p/>
        </w:tc>
      </w:tr>
      <w:tr>
        <w:trPr>
          <w:cantSplit/>
        </w:trPr>
        <w:tc>
          <w:tcPr>
            <w:tcW w:type="dxa" w:w="260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00205B"/>
                <w:sz w:val="20"/>
                <w:szCs w:val="20"/>
              </w:rPr>
              <w:t xml:space="preserve">Conclusion pour G4</w:t>
            </w:r>
          </w:p>
        </w:tc>
        <w:tc>
          <w:tcPr>
            <w:tcW w:type="dxa" w:w="676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i/>
                <w:iCs/>
                <w:color w:val="6C757D"/>
                <w:sz w:val="19"/>
                <w:szCs w:val="19"/>
              </w:rPr>
              <w:t xml:space="preserve">Ce que le journal autorise, borne ou interdit</w:t>
            </w:r>
          </w:p>
          <w:p/>
          <w:p/>
        </w:tc>
      </w:tr>
    </w:tbl>
    <w:p>
      <w:pPr>
        <w:spacing w:after="120" w:before="340"/>
      </w:pPr>
      <w:r>
        <w:rPr>
          <w:rFonts w:ascii="Consolas" w:cs="Consolas" w:eastAsia="Consolas" w:hAnsi="Consolas"/>
          <w:b/>
          <w:bCs/>
          <w:color w:val="C4A052"/>
          <w:spacing w:val="30"/>
          <w:sz w:val="18"/>
          <w:szCs w:val="18"/>
        </w:rPr>
        <w:t xml:space="preserve">UN BON JOURNAL DE MODE À BLANC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0"/>
          <w:szCs w:val="20"/>
        </w:rPr>
        <w:t xml:space="preserve">Chaque exercice (arrêt, retour arrière, reprise) porte une date et des constats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0"/>
          <w:szCs w:val="20"/>
        </w:rPr>
        <w:t xml:space="preserve">Les décisions de passer outre sont analysées, pas seulement comptées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0"/>
          <w:szCs w:val="20"/>
        </w:rPr>
        <w:t xml:space="preserve">La couverture de chaque segment critique est démontrée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0"/>
          <w:szCs w:val="20"/>
        </w:rPr>
        <w:t xml:space="preserve">Le temps de revue et l’approbation sans lecture sont mesurés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0"/>
          <w:szCs w:val="20"/>
        </w:rPr>
        <w:t xml:space="preserve">Les motifs de correction alimentent le jeu d’évaluation</w:t>
      </w:r>
    </w:p>
    <w:p>
      <w:pPr>
        <w:spacing w:before="300"/>
      </w:pPr>
      <w:r>
        <w:rPr>
          <w:i/>
          <w:iCs/>
          <w:color w:val="6C757D"/>
          <w:sz w:val="18"/>
          <w:szCs w:val="18"/>
        </w:rPr>
        <w:t xml:space="preserve">Modèle v1.0 · août 2026. Les durées et volumes sont des hypothèses locales (HYP) à recalibrer sur les données de votre établissement ; le niveau de précision attendu est celui du cas fil rouge du playbook. Ce gabarit vierge est fourni pour être renseigné et réutilisé en interne : la restriction « sans modification » de la licence CC BY-ND porte sur la republication du guide et des exemples, non sur le remplissage des modèles.</w:t>
      </w:r>
    </w:p>
    <w:sectPr>
      <w:footerReference w:type="default" r:id="rId7"/>
      <w:pgSz w:w="11906" w:h="16838" w:orient="portrait"/>
      <w:pgMar w:top="1100" w:right="1250" w:bottom="1100" w:left="12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EE2E6" w:sz="4"/>
      </w:pBdr>
      <w:spacing w:before="80"/>
      <w:jc w:val="center"/>
    </w:pPr>
    <w:r>
      <w:rPr>
        <w:color w:val="6C757D"/>
        <w:sz w:val="16"/>
        <w:szCs w:val="16"/>
      </w:rPr>
      <w:t xml:space="preserve">Playbook Acadewie · www.acadewie.com/agents/playbook/ · Licence CC BY-ND 4.0 · page </w:t>
    </w:r>
    <w:r>
      <w:rPr>
        <w:color w:val="6C757D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☐"/>
      <w:lvlJc w:val="left"/>
      <w:pPr>
        <w:ind w:left="360" w:hanging="360"/>
      </w:pPr>
      <w:rPr>
        <w:color w:val="C4A052"/>
        <w:sz w:val="22"/>
        <w:szCs w:val="2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>
      <w:pPr>
        <w:spacing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2026-08-29T11:35:39.211Z</dcterms:created>
  <dcterms:modified xsi:type="dcterms:W3CDTF">2026-08-29T11:35:39.211Z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