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</w:pPr>
      <w:r>
        <w:rPr>
          <w:rFonts w:ascii="Consolas" w:cs="Consolas" w:eastAsia="Consolas" w:hAnsi="Consolas"/>
          <w:color w:val="C4A052"/>
          <w:spacing w:val="40"/>
          <w:sz w:val="17"/>
          <w:szCs w:val="17"/>
        </w:rPr>
        <w:t xml:space="preserve">ACADEWIE · PLAYBOOK AGENT IA EN BANQUE · MODÈLE À REMPLIR</w:t>
      </w:r>
    </w:p>
    <w:p>
      <w:pPr>
        <w:pStyle w:val="Heading1"/>
        <w:spacing w:after="120" w:before="120"/>
      </w:pPr>
      <w:r>
        <w:rPr>
          <w:rFonts w:ascii="Georgia" w:cs="Georgia" w:eastAsia="Georgia" w:hAnsi="Georgia"/>
          <w:b/>
          <w:bCs/>
          <w:color w:val="00205B"/>
          <w:sz w:val="52"/>
          <w:szCs w:val="52"/>
        </w:rPr>
        <w:t xml:space="preserve">Compte rendu de décision</w:t>
      </w:r>
    </w:p>
    <w:p>
      <w:pPr>
        <w:spacing w:after="60"/>
      </w:pPr>
      <w:r>
        <w:rPr>
          <w:color w:val="6C757D"/>
          <w:sz w:val="19"/>
          <w:szCs w:val="19"/>
        </w:rPr>
        <w:t xml:space="preserve">Point de passage : G0 à G5, obligatoire à G5 · Responsable : directeur produit, le sponsor métier co-décide</w:t>
      </w:r>
    </w:p>
    <w:p>
      <w:pPr>
        <w:pBdr>
          <w:bottom w:val="single" w:color="C4A052" w:sz="24"/>
        </w:pBdr>
        <w:spacing w:after="260"/>
      </w:pPr>
    </w:p>
    <w:p>
      <w:pPr>
        <w:spacing w:after="200"/>
      </w:pPr>
      <w:r>
        <w:rPr>
          <w:sz w:val="21"/>
          <w:szCs w:val="21"/>
        </w:rPr>
        <w:t xml:space="preserve">Il s’écrit en séance : un compte rendu rédigé après coup reconstruit la décision au lieu de l’enregistrer.</w:t>
      </w:r>
    </w:p>
    <w:tbl>
      <w:tblPr>
        <w:tblW w:type="dxa" w:w="9360"/>
        <w:tblBorders>
          <w:top w:val="single" w:color="DEE2E6" w:sz="4"/>
          <w:left w:val="single" w:color="DEE2E6" w:sz="4"/>
          <w:bottom w:val="single" w:color="DEE2E6" w:sz="4"/>
          <w:right w:val="single" w:color="DEE2E6" w:sz="4"/>
          <w:insideH w:val="single" w:color="DEE2E6" w:sz="4"/>
          <w:insideV w:val="single" w:color="DEE2E6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CHAMP</w:t>
            </w:r>
          </w:p>
        </w:tc>
        <w:tc>
          <w:tcPr>
            <w:tcW w:type="dxa" w:w="6760"/>
            <w:shd w:fill="00205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FFFFFF"/>
                <w:spacing w:val="24"/>
                <w:sz w:val="17"/>
                <w:szCs w:val="17"/>
              </w:rPr>
              <w:t xml:space="preserve">À RENSEIGNER</w:t>
            </w:r>
          </w:p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Rempli par / le / version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Point de passage et date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 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Décideurs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Qui a décidé — les présents ne suffisent pas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Décision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Arrêter, corriger ou étendre — jamais « poursuivre »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Motif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Les preuves qui ont emporté la décision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Conditions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Chaque condition avec son responsable et son échéance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Risque accepté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Le risque résiduel, accepté nommément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Prochaine revue</w:t>
            </w:r>
          </w:p>
        </w:tc>
        <w:tc>
          <w:tcPr>
            <w:tcW w:type="dxa" w:w="6760"/>
            <w:shd w:fill="F8F9F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La date écrite — c’est elle qui ferme l’issue implicite</w:t>
            </w:r>
          </w:p>
          <w:p/>
          <w:p/>
        </w:tc>
      </w:tr>
      <w:tr>
        <w:trPr>
          <w:cantSplit/>
        </w:trPr>
        <w:tc>
          <w:tcPr>
            <w:tcW w:type="dxa" w:w="2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00205B"/>
                <w:sz w:val="20"/>
                <w:szCs w:val="20"/>
              </w:rPr>
              <w:t xml:space="preserve">Version archivée</w:t>
            </w:r>
          </w:p>
        </w:tc>
        <w:tc>
          <w:tcPr>
            <w:tcW w:type="dxa" w:w="676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i/>
                <w:iCs/>
                <w:color w:val="6C757D"/>
                <w:sz w:val="19"/>
                <w:szCs w:val="19"/>
              </w:rPr>
              <w:t xml:space="preserve">La version du dossier de preuves sur laquelle on a décidé</w:t>
            </w:r>
          </w:p>
          <w:p/>
          <w:p/>
        </w:tc>
      </w:tr>
    </w:tbl>
    <w:p>
      <w:pPr>
        <w:spacing w:after="120" w:before="340"/>
      </w:pPr>
      <w:r>
        <w:rPr>
          <w:rFonts w:ascii="Consolas" w:cs="Consolas" w:eastAsia="Consolas" w:hAnsi="Consolas"/>
          <w:b/>
          <w:bCs/>
          <w:color w:val="C4A052"/>
          <w:spacing w:val="30"/>
          <w:sz w:val="18"/>
          <w:szCs w:val="18"/>
        </w:rPr>
        <w:t xml:space="preserve">UN BON COMPTE RENDU DE DÉCISION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Tient une décision datée parmi trois issues nommées, jamais une prolongation tacite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Attache chaque condition à un responsable et une échéance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Nomme la personne qui accepte le risque résiduel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Écrit la date de la prochaine revue avant de quitter la salle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0"/>
          <w:szCs w:val="20"/>
        </w:rPr>
        <w:t xml:space="preserve">Rend la décision reproductible devant un contrôleur qui n’a pas assisté aux réunions</w:t>
      </w:r>
    </w:p>
    <w:p>
      <w:pPr>
        <w:spacing w:before="300"/>
      </w:pPr>
      <w:r>
        <w:rPr>
          <w:i/>
          <w:iCs/>
          <w:color w:val="6C757D"/>
          <w:sz w:val="18"/>
          <w:szCs w:val="18"/>
        </w:rPr>
        <w:t xml:space="preserve">Modèle v1.0 · août 2026. Les durées et volumes sont des hypothèses locales (HYP) à recalibrer sur les données de votre établissement ; le niveau de précision attendu est celui du cas fil rouge du playbook. Ce gabarit vierge est fourni pour être renseigné et réutilisé en interne : la restriction « sans modification » de la licence CC BY-ND porte sur la republication du guide et des exemples, non sur le remplissage des modèles.</w:t>
      </w:r>
    </w:p>
    <w:sectPr>
      <w:footerReference w:type="default" r:id="rId7"/>
      <w:pgSz w:w="11906" w:h="16838" w:orient="portrait"/>
      <w:pgMar w:top="1100" w:right="1250" w:bottom="11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2E6" w:sz="4"/>
      </w:pBdr>
      <w:spacing w:before="80"/>
      <w:jc w:val="center"/>
    </w:pPr>
    <w:r>
      <w:rPr>
        <w:color w:val="6C757D"/>
        <w:sz w:val="16"/>
        <w:szCs w:val="16"/>
      </w:rPr>
      <w:t xml:space="preserve">Playbook Acadewie · www.acadewie.com/agents/playbook/ · Licence CC BY-ND 4.0 · page </w:t>
    </w:r>
    <w:r>
      <w:rPr>
        <w:color w:val="6C757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60"/>
      </w:pPr>
      <w:rPr>
        <w:color w:val="C4A052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2026-08-29T09:20:53.803Z</dcterms:created>
  <dcterms:modified xsi:type="dcterms:W3CDTF">2026-08-29T09:20:53.803Z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