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60"/>
      </w:pPr>
      <w:r>
        <w:rPr>
          <w:rFonts w:ascii="Consolas" w:cs="Consolas" w:eastAsia="Consolas" w:hAnsi="Consolas"/>
          <w:color w:val="C4A052"/>
          <w:spacing w:val="40"/>
          <w:sz w:val="17"/>
          <w:szCs w:val="17"/>
        </w:rPr>
        <w:t xml:space="preserve">ACADEWIE · PLAYBOOK AGENT IA EN BANQUE · MODÈLE À REMPLIR</w:t>
      </w:r>
    </w:p>
    <w:p>
      <w:pPr>
        <w:pStyle w:val="Heading1"/>
        <w:spacing w:after="120" w:before="120"/>
      </w:pPr>
      <w:r>
        <w:rPr>
          <w:rFonts w:ascii="Georgia" w:cs="Georgia" w:eastAsia="Georgia" w:hAnsi="Georgia"/>
          <w:b/>
          <w:bCs/>
          <w:color w:val="00205B"/>
          <w:sz w:val="52"/>
          <w:szCs w:val="52"/>
        </w:rPr>
        <w:t xml:space="preserve">Charte de pilote</w:t>
      </w:r>
    </w:p>
    <w:p>
      <w:pPr>
        <w:spacing w:after="60"/>
      </w:pPr>
      <w:r>
        <w:rPr>
          <w:color w:val="6C757D"/>
          <w:sz w:val="19"/>
          <w:szCs w:val="19"/>
        </w:rPr>
        <w:t xml:space="preserve">Point de passage : G0 · Responsable : product manager ; la direction produit en répond ; le sponsor métier co-décide · Semaines 1 et 2</w:t>
      </w:r>
    </w:p>
    <w:p>
      <w:pPr>
        <w:pBdr>
          <w:bottom w:val="single" w:color="C4A052" w:sz="24"/>
        </w:pBdr>
        <w:spacing w:after="260"/>
      </w:pPr>
    </w:p>
    <w:p>
      <w:pPr>
        <w:spacing w:after="200"/>
      </w:pPr>
      <w:r>
        <w:rPr>
          <w:sz w:val="21"/>
          <w:szCs w:val="21"/>
        </w:rPr>
        <w:t xml:space="preserve">Trois champs rendent possible la décision de la semaine treize : la situation de départ fixe ce que l’on comparera, le hors-périmètre ce que l’on n’aura jamais tenté, la règle d’arrêt ce qui interrompt sans discussion.</w:t>
      </w:r>
    </w:p>
    <w:tbl>
      <w:tblPr>
        <w:tblW w:type="dxa" w:w="9360"/>
        <w:tblBorders>
          <w:top w:val="single" w:color="DEE2E6" w:sz="4"/>
          <w:left w:val="single" w:color="DEE2E6" w:sz="4"/>
          <w:bottom w:val="single" w:color="DEE2E6" w:sz="4"/>
          <w:right w:val="single" w:color="DEE2E6" w:sz="4"/>
          <w:insideH w:val="single" w:color="DEE2E6" w:sz="4"/>
          <w:insideV w:val="single" w:color="DEE2E6" w:sz="4"/>
        </w:tblBorders>
      </w:tblPr>
      <w:tblGrid>
        <w:gridCol w:w="2600"/>
        <w:gridCol w:w="6760"/>
      </w:tblGrid>
      <w:tr>
        <w:trPr>
          <w:tblHeader/>
        </w:trPr>
        <w:tc>
          <w:tcPr>
            <w:tcW w:type="dxa" w:w="2600"/>
            <w:shd w:fill="00205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onsolas" w:cs="Consolas" w:eastAsia="Consolas" w:hAnsi="Consolas"/>
                <w:color w:val="FFFFFF"/>
                <w:spacing w:val="24"/>
                <w:sz w:val="17"/>
                <w:szCs w:val="17"/>
              </w:rPr>
              <w:t xml:space="preserve">CHAMP</w:t>
            </w:r>
          </w:p>
        </w:tc>
        <w:tc>
          <w:tcPr>
            <w:tcW w:type="dxa" w:w="6760"/>
            <w:shd w:fill="00205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onsolas" w:cs="Consolas" w:eastAsia="Consolas" w:hAnsi="Consolas"/>
                <w:color w:val="FFFFFF"/>
                <w:spacing w:val="24"/>
                <w:sz w:val="17"/>
                <w:szCs w:val="17"/>
              </w:rPr>
              <w:t xml:space="preserve">À RENSEIGNER</w:t>
            </w:r>
          </w:p>
        </w:tc>
      </w:tr>
      <w:tr>
        <w:trPr>
          <w:cantSplit/>
        </w:trPr>
        <w:tc>
          <w:tcPr>
            <w:tcW w:type="dxa" w:w="26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Rempli par / le / version</w:t>
            </w:r>
          </w:p>
        </w:tc>
        <w:tc>
          <w:tcPr>
            <w:tcW w:type="dxa" w:w="676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 </w:t>
            </w:r>
          </w:p>
          <w:p/>
          <w:p/>
        </w:tc>
      </w:tr>
      <w:tr>
        <w:trPr>
          <w:cantSplit/>
        </w:trPr>
        <w:tc>
          <w:tcPr>
            <w:tcW w:type="dxa" w:w="2600"/>
            <w:shd w:fill="F8F9F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Résultat visé</w:t>
            </w:r>
          </w:p>
        </w:tc>
        <w:tc>
          <w:tcPr>
            <w:tcW w:type="dxa" w:w="6760"/>
            <w:shd w:fill="F8F9F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Un résultat client ou opérationnel, mesurable, en une phrase</w:t>
            </w:r>
          </w:p>
          <w:p/>
          <w:p/>
        </w:tc>
      </w:tr>
      <w:tr>
        <w:trPr>
          <w:cantSplit/>
        </w:trPr>
        <w:tc>
          <w:tcPr>
            <w:tcW w:type="dxa" w:w="26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Population</w:t>
            </w:r>
          </w:p>
        </w:tc>
        <w:tc>
          <w:tcPr>
            <w:tcW w:type="dxa" w:w="676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Cohorte bornée : entité, canal, volume, règles d’exclusion</w:t>
            </w:r>
          </w:p>
          <w:p/>
          <w:p/>
        </w:tc>
      </w:tr>
      <w:tr>
        <w:trPr>
          <w:cantSplit/>
        </w:trPr>
        <w:tc>
          <w:tcPr>
            <w:tcW w:type="dxa" w:w="2600"/>
            <w:shd w:fill="F8F9F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Déclencheur</w:t>
            </w:r>
          </w:p>
        </w:tc>
        <w:tc>
          <w:tcPr>
            <w:tcW w:type="dxa" w:w="6760"/>
            <w:shd w:fill="F8F9F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L’événement qui fait entrer un dossier dans le périmètre</w:t>
            </w:r>
          </w:p>
          <w:p/>
          <w:p/>
        </w:tc>
      </w:tr>
      <w:tr>
        <w:trPr>
          <w:cantSplit/>
        </w:trPr>
        <w:tc>
          <w:tcPr>
            <w:tcW w:type="dxa" w:w="26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Utilisateurs</w:t>
            </w:r>
          </w:p>
        </w:tc>
        <w:tc>
          <w:tcPr>
            <w:tcW w:type="dxa" w:w="676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Qui voit la proposition, qui décide, qui est indirectement concerné</w:t>
            </w:r>
          </w:p>
          <w:p/>
          <w:p/>
        </w:tc>
      </w:tr>
      <w:tr>
        <w:trPr>
          <w:cantSplit/>
        </w:trPr>
        <w:tc>
          <w:tcPr>
            <w:tcW w:type="dxa" w:w="2600"/>
            <w:shd w:fill="F8F9F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Proposition</w:t>
            </w:r>
          </w:p>
        </w:tc>
        <w:tc>
          <w:tcPr>
            <w:tcW w:type="dxa" w:w="6760"/>
            <w:shd w:fill="F8F9F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Ce que l’agent propose, sans effet, et ce que l’humain en fait</w:t>
            </w:r>
          </w:p>
          <w:p/>
          <w:p/>
        </w:tc>
      </w:tr>
      <w:tr>
        <w:trPr>
          <w:cantSplit/>
        </w:trPr>
        <w:tc>
          <w:tcPr>
            <w:tcW w:type="dxa" w:w="26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Hors périmètre et actions interdites</w:t>
            </w:r>
          </w:p>
        </w:tc>
        <w:tc>
          <w:tcPr>
            <w:tcW w:type="dxa" w:w="676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Les actions que l’agent ne tentera jamais, en verbes, traduisibles en droits absents</w:t>
            </w:r>
          </w:p>
          <w:p/>
          <w:p/>
        </w:tc>
      </w:tr>
      <w:tr>
        <w:trPr>
          <w:cantSplit/>
        </w:trPr>
        <w:tc>
          <w:tcPr>
            <w:tcW w:type="dxa" w:w="2600"/>
            <w:shd w:fill="F8F9F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Situation de départ</w:t>
            </w:r>
          </w:p>
        </w:tc>
        <w:tc>
          <w:tcPr>
            <w:tcW w:type="dxa" w:w="6760"/>
            <w:shd w:fill="F8F9F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Les mesures prises AVANT l’agent, avec le responsable de la donnée</w:t>
            </w:r>
          </w:p>
          <w:p/>
          <w:p/>
        </w:tc>
      </w:tr>
      <w:tr>
        <w:trPr>
          <w:cantSplit/>
        </w:trPr>
        <w:tc>
          <w:tcPr>
            <w:tcW w:type="dxa" w:w="26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Succès</w:t>
            </w:r>
          </w:p>
        </w:tc>
        <w:tc>
          <w:tcPr>
            <w:tcW w:type="dxa" w:w="676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Les seuils qui feront dire « étendre » — et sous quels seuils durs</w:t>
            </w:r>
          </w:p>
          <w:p/>
          <w:p/>
        </w:tc>
      </w:tr>
      <w:tr>
        <w:trPr>
          <w:cantSplit/>
        </w:trPr>
        <w:tc>
          <w:tcPr>
            <w:tcW w:type="dxa" w:w="2600"/>
            <w:shd w:fill="F8F9F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Arrêt</w:t>
            </w:r>
          </w:p>
        </w:tc>
        <w:tc>
          <w:tcPr>
            <w:tcW w:type="dxa" w:w="6760"/>
            <w:shd w:fill="F8F9F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Ce qui interrompt le pilote sans réunion</w:t>
            </w:r>
          </w:p>
          <w:p/>
          <w:p/>
        </w:tc>
      </w:tr>
      <w:tr>
        <w:trPr>
          <w:cantSplit/>
        </w:trPr>
        <w:tc>
          <w:tcPr>
            <w:tcW w:type="dxa" w:w="26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Repli manuel</w:t>
            </w:r>
          </w:p>
        </w:tc>
        <w:tc>
          <w:tcPr>
            <w:tcW w:type="dxa" w:w="676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Qui reprend la main, comment, en combien de temps</w:t>
            </w:r>
          </w:p>
          <w:p/>
          <w:p/>
        </w:tc>
      </w:tr>
      <w:tr>
        <w:trPr>
          <w:cantSplit/>
        </w:trPr>
        <w:tc>
          <w:tcPr>
            <w:tcW w:type="dxa" w:w="2600"/>
            <w:shd w:fill="F8F9F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Alternative sans agent</w:t>
            </w:r>
          </w:p>
        </w:tc>
        <w:tc>
          <w:tcPr>
            <w:tcW w:type="dxa" w:w="6760"/>
            <w:shd w:fill="F8F9F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L’option sans IA examinée, son coût estimé, le motif d’écart</w:t>
            </w:r>
          </w:p>
          <w:p/>
          <w:p/>
        </w:tc>
      </w:tr>
      <w:tr>
        <w:trPr>
          <w:cantSplit/>
        </w:trPr>
        <w:tc>
          <w:tcPr>
            <w:tcW w:type="dxa" w:w="26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Responsables et dates</w:t>
            </w:r>
          </w:p>
        </w:tc>
        <w:tc>
          <w:tcPr>
            <w:tcW w:type="dxa" w:w="676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Sponsor, responsable d’agent, dates des points G0 à G5</w:t>
            </w:r>
          </w:p>
          <w:p/>
          <w:p/>
        </w:tc>
      </w:tr>
    </w:tbl>
    <w:p>
      <w:pPr>
        <w:spacing w:after="120" w:before="340"/>
      </w:pPr>
      <w:r>
        <w:rPr>
          <w:rFonts w:ascii="Consolas" w:cs="Consolas" w:eastAsia="Consolas" w:hAnsi="Consolas"/>
          <w:b/>
          <w:bCs/>
          <w:color w:val="C4A052"/>
          <w:spacing w:val="30"/>
          <w:sz w:val="18"/>
          <w:szCs w:val="18"/>
        </w:rPr>
        <w:t xml:space="preserve">UNE BONNE CHARTE G0 CONTIENT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0"/>
          <w:szCs w:val="20"/>
        </w:rPr>
        <w:t xml:space="preserve">Un résultat relié à une situation de départ mesurée, pas à une impression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0"/>
          <w:szCs w:val="20"/>
        </w:rPr>
        <w:t xml:space="preserve">Un hors-périmètre écrit en actions interdites, traduisibles en droits absents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0"/>
          <w:szCs w:val="20"/>
        </w:rPr>
        <w:t xml:space="preserve">Une règle d’arrêt qui s’applique sans convoquer de réunion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0"/>
          <w:szCs w:val="20"/>
        </w:rPr>
        <w:t xml:space="preserve">Deux noms : le sponsor métier et le responsable d’agent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0"/>
          <w:szCs w:val="20"/>
        </w:rPr>
        <w:t xml:space="preserve">La trace de l’examen de l’alternative sans intelligence artificielle</w:t>
      </w:r>
    </w:p>
    <w:p>
      <w:pPr>
        <w:spacing w:before="300"/>
      </w:pPr>
      <w:r>
        <w:rPr>
          <w:i/>
          <w:iCs/>
          <w:color w:val="6C757D"/>
          <w:sz w:val="18"/>
          <w:szCs w:val="18"/>
        </w:rPr>
        <w:t xml:space="preserve">Modèle v1.0 · août 2026. Les durées et volumes sont des hypothèses locales (HYP) à recalibrer sur les données de votre établissement ; le niveau de précision attendu est celui du cas fil rouge du playbook. Ce gabarit vierge est fourni pour être renseigné et réutilisé en interne : la restriction « sans modification » de la licence CC BY-ND porte sur la republication du guide et des exemples, non sur le remplissage des modèles.</w:t>
      </w:r>
    </w:p>
    <w:sectPr>
      <w:footerReference w:type="default" r:id="rId7"/>
      <w:pgSz w:w="11906" w:h="16838" w:orient="portrait"/>
      <w:pgMar w:top="1100" w:right="1250" w:bottom="1100" w:left="12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EE2E6" w:sz="4"/>
      </w:pBdr>
      <w:spacing w:before="80"/>
      <w:jc w:val="center"/>
    </w:pPr>
    <w:r>
      <w:rPr>
        <w:color w:val="6C757D"/>
        <w:sz w:val="16"/>
        <w:szCs w:val="16"/>
      </w:rPr>
      <w:t xml:space="preserve">Playbook Acadewie · www.acadewie.com/agents/playbook/ · Licence CC BY-ND 4.0 · page </w:t>
    </w:r>
    <w:r>
      <w:rPr>
        <w:color w:val="6C757D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360" w:hanging="360"/>
      </w:pPr>
      <w:rPr>
        <w:color w:val="C4A052"/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>
      <w:pPr>
        <w:spacing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2026-08-29T11:57:02.299Z</dcterms:created>
  <dcterms:modified xsi:type="dcterms:W3CDTF">2026-08-29T11:57:02.318Z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