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Consolas" w:cs="Consolas" w:eastAsia="Consolas" w:hAnsi="Consolas"/>
          <w:color w:val="C4A052"/>
          <w:spacing w:val="40"/>
          <w:sz w:val="17"/>
          <w:szCs w:val="17"/>
        </w:rPr>
        <w:t xml:space="preserve">ACADEWIE · PLAYBOOK AGENT IA EN BANQUE · MODÈLE À REMPLIR</w:t>
      </w:r>
    </w:p>
    <w:p>
      <w:pPr>
        <w:pStyle w:val="Heading1"/>
        <w:spacing w:after="120" w:before="120"/>
      </w:pPr>
      <w:r>
        <w:rPr>
          <w:rFonts w:ascii="Georgia" w:cs="Georgia" w:eastAsia="Georgia" w:hAnsi="Georgia"/>
          <w:b/>
          <w:bCs/>
          <w:color w:val="00205B"/>
          <w:sz w:val="52"/>
          <w:szCs w:val="52"/>
        </w:rPr>
        <w:t xml:space="preserve">Canevas d’agent</w:t>
      </w:r>
    </w:p>
    <w:p>
      <w:pPr>
        <w:spacing w:after="60"/>
      </w:pPr>
      <w:r>
        <w:rPr>
          <w:color w:val="6C757D"/>
          <w:sz w:val="19"/>
          <w:szCs w:val="19"/>
        </w:rPr>
        <w:t xml:space="preserve">Point de passage : G2 · Responsable : product owner ; architecture, sécurité et exploitation consultées · Semaines 4 à 6</w:t>
      </w:r>
    </w:p>
    <w:p>
      <w:pPr>
        <w:pBdr>
          <w:bottom w:val="single" w:color="C4A052" w:sz="24"/>
        </w:pBdr>
        <w:spacing w:after="260"/>
      </w:pPr>
    </w:p>
    <w:p>
      <w:pPr>
        <w:spacing w:after="200"/>
      </w:pPr>
      <w:r>
        <w:rPr>
          <w:sz w:val="21"/>
          <w:szCs w:val="21"/>
        </w:rPr>
        <w:t xml:space="preserve">L’ordre des champs compte : le résultat et les utilisateurs déterminent le périmètre ; le périmètre détermine l’autonomie ; l’autonomie détermine les outils et les droits ; l’ensemble détermine le plan d’évaluation.</w:t>
      </w:r>
    </w:p>
    <w:tbl>
      <w:tblPr>
        <w:tblW w:type="dxa" w:w="9360"/>
        <w:tblBorders>
          <w:top w:val="single" w:color="DEE2E6" w:sz="4"/>
          <w:left w:val="single" w:color="DEE2E6" w:sz="4"/>
          <w:bottom w:val="single" w:color="DEE2E6" w:sz="4"/>
          <w:right w:val="single" w:color="DEE2E6" w:sz="4"/>
          <w:insideH w:val="single" w:color="DEE2E6" w:sz="4"/>
          <w:insideV w:val="single" w:color="DEE2E6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CHAMP</w:t>
            </w:r>
          </w:p>
        </w:tc>
        <w:tc>
          <w:tcPr>
            <w:tcW w:type="dxa" w:w="676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À RENSEIGNER</w:t>
            </w:r>
          </w:p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Rempli par / le / version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1 · Résultat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2 · Utilisateurs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3 · Périmètre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4 · Autonomie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Palier A0 à A5 par action, jamais pour l’agent entier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5 · Risque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Qualification cumulée, risque résiduel, validation locale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6 · Données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Objets, droits, minimisation, lignage, rétention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7 · Outils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Chaque outil avec son droit — et les outils absents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8 · Mémoire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qui est conservé, cloisonné, purgeable — et ce qui ne l’est pas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9 · Humain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Ce que voit le relecteur, ses pouvoirs, le motif de correction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10 · Évaluation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Jeux de référence et adverses, segments, seuils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11 · Exploitation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Objectifs de service, coût, alertes, arrêt, repli manuel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12 · Cycle de vie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Responsable, versions, changement significatif, retrait</w:t>
            </w:r>
          </w:p>
          <w:p/>
          <w:p/>
        </w:tc>
      </w:tr>
    </w:tbl>
    <w:p>
      <w:pPr>
        <w:spacing w:after="120" w:before="340"/>
      </w:pPr>
      <w:r>
        <w:rPr>
          <w:rFonts w:ascii="Consolas" w:cs="Consolas" w:eastAsia="Consolas" w:hAnsi="Consolas"/>
          <w:b/>
          <w:bCs/>
          <w:color w:val="C4A052"/>
          <w:spacing w:val="30"/>
          <w:sz w:val="18"/>
          <w:szCs w:val="18"/>
        </w:rPr>
        <w:t xml:space="preserve">UN BON CANEVAS D’AGENT PERMET DE RÉPONDRE À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Quelle action l’agent réalise-t-il, à quel palier d’autonomie, avec quelle preuve de contrôle 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Quelles données lit-il ou écrit-il, avec quel droit et quelle rétention 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Qui reprend la main, comment, et en combien de temps 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Ce que l’agent ne peut pas faire est-il inscrit dans ses permissions, pas seulement dans sa consigne 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Quel changement de modèle, de consigne, d’outil ou de règle rouvre le dossier ?</w:t>
      </w:r>
    </w:p>
    <w:p>
      <w:pPr>
        <w:spacing w:before="300"/>
      </w:pPr>
      <w:r>
        <w:rPr>
          <w:i/>
          <w:iCs/>
          <w:color w:val="6C757D"/>
          <w:sz w:val="18"/>
          <w:szCs w:val="18"/>
        </w:rPr>
        <w:t xml:space="preserve">Modèle v1.0 · août 2026. Les durées et volumes sont des hypothèses locales (HYP) à recalibrer sur les données de votre établissement ; le niveau de précision attendu est celui du cas fil rouge du playbook. Ce gabarit vierge est fourni pour être renseigné et réutilisé en interne : la restriction « sans modification » de la licence CC BY-ND porte sur la republication du guide et des exemples, non sur le remplissage des modèles.</w:t>
      </w:r>
    </w:p>
    <w:sectPr>
      <w:footerReference w:type="default" r:id="rId7"/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2E6" w:sz="4"/>
      </w:pBdr>
      <w:spacing w:before="80"/>
      <w:jc w:val="center"/>
    </w:pPr>
    <w:r>
      <w:rPr>
        <w:color w:val="6C757D"/>
        <w:sz w:val="16"/>
        <w:szCs w:val="16"/>
      </w:rPr>
      <w:t xml:space="preserve">Playbook Acadewie · www.acadewie.com/agents/playbook/ · Licence CC BY-ND 4.0 · page </w:t>
    </w:r>
    <w:r>
      <w:rPr>
        <w:color w:val="6C7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360" w:hanging="360"/>
      </w:pPr>
      <w:rPr>
        <w:color w:val="C4A052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2026-08-29T09:20:53.743Z</dcterms:created>
  <dcterms:modified xsi:type="dcterms:W3CDTF">2026-08-29T09:20:53.743Z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